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B3733C" w:rsidRPr="00B3733C" w:rsidTr="00B3733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3733C" w:rsidRPr="00B3733C" w:rsidRDefault="00B3733C" w:rsidP="00B3733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1"/>
            <w:r w:rsidRPr="00B3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Page 1</w:t>
            </w:r>
            <w:bookmarkEnd w:id="0"/>
          </w:p>
        </w:tc>
      </w:tr>
    </w:tbl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b/>
          <w:bCs/>
          <w:color w:val="2C4E46"/>
          <w:sz w:val="18"/>
          <w:szCs w:val="18"/>
          <w:shd w:val="clear" w:color="auto" w:fill="FFFFFF"/>
          <w:lang w:eastAsia="en-GB"/>
        </w:rPr>
        <w:t>The Woodland Trust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  <w:t>Kempton Way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  <w:t>Grantham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  <w:t>Lincolnshire</w:t>
      </w:r>
    </w:p>
    <w:p w:rsidR="00B3733C" w:rsidRDefault="00B3733C" w:rsidP="00B3733C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NG31 6LL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b/>
          <w:bCs/>
          <w:color w:val="2C4E46"/>
          <w:sz w:val="18"/>
          <w:szCs w:val="18"/>
          <w:shd w:val="clear" w:color="auto" w:fill="FFFFFF"/>
          <w:lang w:eastAsia="en-GB"/>
        </w:rPr>
        <w:t>Website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2C4E46"/>
          <w:sz w:val="18"/>
          <w:szCs w:val="18"/>
          <w:shd w:val="clear" w:color="auto" w:fill="FFFFFF"/>
          <w:lang w:eastAsia="en-GB"/>
        </w:rPr>
        <w:t>woodlandtrust.org.uk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Aylesbury Vale District Council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66 High Street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AYLESBURY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Buckinghamshire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HP20 1SD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7th</w:t>
      </w:r>
      <w:r w:rsidRPr="00B3733C">
        <w:rPr>
          <w:rFonts w:ascii="Times" w:eastAsia="Times New Roman" w:hAnsi="Times" w:cs="Times New Roman"/>
          <w:color w:val="000000"/>
          <w:sz w:val="18"/>
          <w:szCs w:val="18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en-GB"/>
        </w:rPr>
        <w:t>September 2016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Dear Ms Britton</w:t>
      </w:r>
    </w:p>
    <w:p w:rsidR="00B3733C" w:rsidRDefault="00B3733C" w:rsidP="00B3733C">
      <w:pP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16/02745/AOP | Outline application for mixed use development comprising offices, light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industrial, general industrial and storage &amp; distribution facilities (Use Class B1a, B1c, B2 &amp;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B8), education including on site student accommodation (D1 &amp; C2), up to two hotels (C1),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non retail promotional automotive display space (sui generis), a social hub (D2), parking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and access arrangements, supporting infrastructure including highway and utilities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improvements, demolition of existing structures, associated landscaping and other ancillary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works</w:t>
      </w:r>
      <w:r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As the UK's leading woodland conservation charity, the Woodland Trust aims to protect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native woods, trees and their wildlife for the future. Through the restoration and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improvement of woodland biodiversity and increased awareness and understanding of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important woodland, these aims can be achieved. We own and manage over 1,000 sites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covering around 24,000 hectares (59,000 acres) and have 500,000 members and supporters.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Ancient woodland is defined as an irreplaceable natural resource that has remained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constantly wooded since at least AD1600. The length at which ancient woodland takes to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develop and evolve (centuries, even millennia), coupled with the vital links it creates between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plants, animals and soils accentuate its irreplaceable status. The varied and unique habitats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ancient woodland sites provide for many of the UK's most important and threatened fauna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and flora species cannot be re-created and cannot afford to be lost.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 Woodland Trust</w:t>
      </w:r>
      <w:r w:rsidRPr="00B3733C">
        <w:rPr>
          <w:rFonts w:ascii="Times" w:eastAsia="Times New Roman" w:hAnsi="Times" w:cs="Times New Roman"/>
          <w:color w:val="000000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objects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to the planning application on the basis of damage to Wild wood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(grid ref: SP672429), an Ancient Semi Natural Woodland and </w:t>
      </w:r>
      <w:proofErr w:type="spellStart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Hazelborough</w:t>
      </w:r>
      <w:proofErr w:type="spellEnd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Wood (known on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 Ancient Woodland Inventory as Lodge Copse/The Straights at grid reference: SP663418.),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which is ancient semi natural woodland and plantation on ancient woodland designated as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such on Natural England’s Ancient Woodland Inventory (AWI)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National Planning Policy Framework paragraph 118 states that “planning permission should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be refused for development resulting in the</w:t>
      </w:r>
      <w:r w:rsidRPr="00B3733C">
        <w:rPr>
          <w:rFonts w:ascii="Times" w:eastAsia="Times New Roman" w:hAnsi="Times" w:cs="Times New Roman"/>
          <w:color w:val="000000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loss or deterioration of irreplaceable habitats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,</w:t>
      </w:r>
    </w:p>
    <w:p w:rsidR="00B3733C" w:rsidRPr="00B3733C" w:rsidRDefault="00B3733C" w:rsidP="00B37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3733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B3733C" w:rsidRPr="00B3733C" w:rsidTr="00B3733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3733C" w:rsidRPr="00B3733C" w:rsidRDefault="00B3733C" w:rsidP="00B3733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1" w:name="2"/>
            <w:r w:rsidRPr="00B3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Page 2</w:t>
            </w:r>
            <w:bookmarkEnd w:id="1"/>
          </w:p>
        </w:tc>
      </w:tr>
    </w:tbl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including ancient woodland and the loss of aged or veteran trees found outside ancient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woodland, unless the need for, and benefits of, the development in that location clearly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outweigh the loss.”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 recently published (April 2014) Natural England Standing Advice for Ancient Woodland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and Veteran Trees, paragraph 4.8.1 states: ‘Ancient woodland is of prime ecological and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landscape importance, providing a vital part of a rich and diverse countryside. In particular,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ancient woodland: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Is exceptionally rich in wildlife, and supports many rare and threatened species;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May contain surviving descendants and features from the original natural forests;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Acts as reservoirs from which wildlife can spread into new woodlands;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Has valuable soils due to their undisturbed nature;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Is an integral part of England’s historic landscapes and the biological and visual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functioning of a landscape;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Contains a wealth of features of historical and archaeological importance little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altered by modern cultivation or disturbance;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  <w:t>•</w:t>
      </w:r>
      <w:r w:rsidRPr="00B3733C">
        <w:rPr>
          <w:rFonts w:ascii="Times" w:eastAsia="Times New Roman" w:hAnsi="Times" w:cs="Times New Roman"/>
          <w:color w:val="333333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Contributes to people’s sense of place and imagination.’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333333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Natural England’s Standing Advice on Ancient Woodland (April 2014), Section 6.4: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Symbol" w:eastAsia="Times New Roman" w:hAnsi="Symbol" w:cs="Times New Roman"/>
          <w:color w:val="000000"/>
          <w:sz w:val="14"/>
          <w:szCs w:val="14"/>
          <w:shd w:val="clear" w:color="auto" w:fill="FFFFFF"/>
          <w:lang w:eastAsia="en-GB"/>
        </w:rPr>
        <w:t></w:t>
      </w:r>
      <w:r w:rsidRPr="00B3733C">
        <w:rPr>
          <w:rFonts w:ascii="Symbol" w:eastAsia="Times New Roman" w:hAnsi="Symbol" w:cs="Times New Roman"/>
          <w:color w:val="000000"/>
          <w:sz w:val="14"/>
          <w:lang w:eastAsia="en-GB"/>
        </w:rPr>
        <w:t>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“Development must be kept as far as possible from ancient woodland, with a buffer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area maintained between the ancient woodland and any development boundary. An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appropriate buffer area will depend on the local circumstances and the type of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development. In a planning case in West Sussex the Secretary of State supported the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arguments for a 15m buffer around the affected ancient woodland, but larger buffers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may be required.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Symbol" w:eastAsia="Times New Roman" w:hAnsi="Symbol" w:cs="Times New Roman"/>
          <w:color w:val="000000"/>
          <w:sz w:val="14"/>
          <w:szCs w:val="14"/>
          <w:shd w:val="clear" w:color="auto" w:fill="FFFFFF"/>
          <w:lang w:eastAsia="en-GB"/>
        </w:rPr>
        <w:t></w:t>
      </w:r>
      <w:r w:rsidRPr="00B3733C">
        <w:rPr>
          <w:rFonts w:ascii="Symbol" w:eastAsia="Times New Roman" w:hAnsi="Symbol" w:cs="Times New Roman"/>
          <w:color w:val="000000"/>
          <w:sz w:val="14"/>
          <w:lang w:eastAsia="en-GB"/>
        </w:rPr>
        <w:t>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 permanent retention of buffer zones must be secured as part of the planning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permission. These should be allowed to develop into semi-natural habitat.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Developments such as gardens must not be included within buffer zones as there is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limited control over how they may be used, or developed in the future; for example,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they might be paved or decked without the need for planning permission or they may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include inappropriate species which could escape into the woodland.”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For buffers to be effective they need to be designed on a case by case basis. The 15m buffer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referred to in the Standing Advice was in relation to a housing development. There is no one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size fits all approach to buffer design and each buffer will be unique to its location and the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functions it is to fulfil. A good understanding of what needs to be protected is needed before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any buffer construction takes place. Furthermore, once a buffer is constructed its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effectiveness needs to be monitored and assessed and the results made available so that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subsequent buffer designs can be amended and improved.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This buffer should be made up of at least 50% native tree cover which should be allowed to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develop into a semi natural habitat. Around the trees of high value it should be maintained as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scrub or grassland so that younger tree competition does not establish and compromise their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crowns. These measures will help to protect the ancient woodland from the impacts of the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adjacent development and are in line with the recommendations in the NPPF. In addition, a</w:t>
      </w:r>
    </w:p>
    <w:p w:rsidR="00B3733C" w:rsidRPr="00B3733C" w:rsidRDefault="00B3733C" w:rsidP="00B37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3733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B3733C" w:rsidRPr="00B3733C" w:rsidTr="00B3733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3733C" w:rsidRPr="00B3733C" w:rsidRDefault="00B3733C" w:rsidP="00B3733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2" w:name="3"/>
            <w:r w:rsidRPr="00B3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Page 3</w:t>
            </w:r>
            <w:bookmarkEnd w:id="2"/>
          </w:p>
        </w:tc>
      </w:tr>
    </w:tbl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larger buffer will also increase the available habitat onsite helping to contribute to an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increase in biodiversity locally as well as mitigating the impacts of this development.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The non technical summary states the following: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NTS.16 A minimum 5 m wide strip of new tree planting will be provided along the north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western edge of zone K next to buildings up to 12 m high, which will provide screening and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act as a biodiversity corridor. For buildings above this height, the width of the buffer strip will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increase, up to 10 m wide next to buildings up to 16 m high. A 5 m wide buffer will be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retained along the south western boundary where zone K borders </w:t>
      </w:r>
      <w:proofErr w:type="spellStart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Hazelborough</w:t>
      </w:r>
      <w:proofErr w:type="spellEnd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Woods. This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area will be planted with native species to improve the existing woodland edge. A 5 m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wide planted buffer will also be retained along the northern boundary of zone K. A minimum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building set-back of 10 m from </w:t>
      </w:r>
      <w:proofErr w:type="spellStart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Dadford</w:t>
      </w:r>
      <w:proofErr w:type="spellEnd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Road will be provided in the east of zone K. A new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woodland planting / staff break-out area will be provided in the southern tip of zone K.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This buffering is inadequate to protect the ancient woodland due to the size and type of the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proposed development we would recommend that a buffer at least 50m wide is included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within the plans adjacent to both Wild Wood and </w:t>
      </w:r>
      <w:proofErr w:type="spellStart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Hazelborough</w:t>
      </w:r>
      <w:proofErr w:type="spellEnd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Wood and that the buffer is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planted before any building work commences on site.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Ancient woodland is an irreplaceable habitat, once lost it is gone forever. The Woodland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Trust</w:t>
      </w:r>
      <w:r w:rsidRPr="00B3733C">
        <w:rPr>
          <w:rFonts w:ascii="Times" w:eastAsia="Times New Roman" w:hAnsi="Times" w:cs="Times New Roman"/>
          <w:color w:val="000000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szCs w:val="14"/>
          <w:shd w:val="clear" w:color="auto" w:fill="FFFFFF"/>
          <w:lang w:eastAsia="en-GB"/>
        </w:rPr>
        <w:t>objects</w:t>
      </w:r>
      <w:r w:rsidRPr="00B3733C">
        <w:rPr>
          <w:rFonts w:ascii="Times" w:eastAsia="Times New Roman" w:hAnsi="Times" w:cs="Times New Roman"/>
          <w:b/>
          <w:bCs/>
          <w:color w:val="000000"/>
          <w:sz w:val="14"/>
          <w:lang w:eastAsia="en-GB"/>
        </w:rPr>
        <w:t> </w:t>
      </w: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to this proposal due to the direct loss of this irreplaceable habitat.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Default="00B3733C" w:rsidP="00B3733C">
      <w:pPr>
        <w:rPr>
          <w:rFonts w:ascii="Times" w:eastAsia="Times New Roman" w:hAnsi="Times" w:cs="Times New Roman"/>
          <w:color w:val="0000FF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i/>
          <w:iCs/>
          <w:color w:val="000000"/>
          <w:sz w:val="14"/>
          <w:szCs w:val="14"/>
          <w:shd w:val="clear" w:color="auto" w:fill="FFFFFF"/>
          <w:lang w:eastAsia="en-GB"/>
        </w:rPr>
        <w:t>If you would like clarification of any of the points raised please contact us via</w:t>
      </w:r>
      <w:r>
        <w:rPr>
          <w:rFonts w:ascii="Times" w:eastAsia="Times New Roman" w:hAnsi="Times" w:cs="Times New Roman"/>
          <w:i/>
          <w:iCs/>
          <w:color w:val="000000"/>
          <w:sz w:val="14"/>
          <w:szCs w:val="14"/>
          <w:shd w:val="clear" w:color="auto" w:fill="FFFFFF"/>
          <w:lang w:eastAsia="en-GB"/>
        </w:rPr>
        <w:t xml:space="preserve"> </w:t>
      </w:r>
      <w:r w:rsidRPr="00B3733C">
        <w:rPr>
          <w:rFonts w:ascii="Times" w:eastAsia="Times New Roman" w:hAnsi="Times" w:cs="Times New Roman"/>
          <w:color w:val="0000FF"/>
          <w:sz w:val="14"/>
          <w:szCs w:val="14"/>
          <w:shd w:val="clear" w:color="auto" w:fill="FFFFFF"/>
          <w:lang w:eastAsia="en-GB"/>
        </w:rPr>
        <w:t>campaigning@woodlandtrust.org.uk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FF"/>
          <w:sz w:val="14"/>
          <w:szCs w:val="14"/>
          <w:shd w:val="clear" w:color="auto" w:fill="FFFFFF"/>
          <w:lang w:eastAsia="en-GB"/>
        </w:rPr>
      </w:pPr>
    </w:p>
    <w:p w:rsid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Yours sincerely,</w:t>
      </w: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 xml:space="preserve">Katharine </w:t>
      </w:r>
      <w:proofErr w:type="spellStart"/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Rist</w:t>
      </w:r>
      <w:proofErr w:type="spellEnd"/>
    </w:p>
    <w:p w:rsidR="00B3733C" w:rsidRPr="00B3733C" w:rsidRDefault="00B3733C" w:rsidP="00B3733C">
      <w:pP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</w:pPr>
      <w:r w:rsidRPr="00B3733C"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Campaigner- Ancient Woodlan</w:t>
      </w:r>
      <w:r>
        <w:rPr>
          <w:rFonts w:ascii="Times" w:eastAsia="Times New Roman" w:hAnsi="Times" w:cs="Times New Roman"/>
          <w:color w:val="000000"/>
          <w:sz w:val="14"/>
          <w:szCs w:val="14"/>
          <w:shd w:val="clear" w:color="auto" w:fill="FFFFFF"/>
          <w:lang w:eastAsia="en-GB"/>
        </w:rPr>
        <w:t>d</w:t>
      </w:r>
    </w:p>
    <w:p w:rsidR="003169CD" w:rsidRDefault="003169CD"/>
    <w:sectPr w:rsidR="003169CD" w:rsidSect="005A6EC9">
      <w:pgSz w:w="11906" w:h="16838"/>
      <w:pgMar w:top="851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733C"/>
    <w:rsid w:val="00126E3A"/>
    <w:rsid w:val="00142975"/>
    <w:rsid w:val="003169CD"/>
    <w:rsid w:val="004936CD"/>
    <w:rsid w:val="004B1FFF"/>
    <w:rsid w:val="005A6EC9"/>
    <w:rsid w:val="0079386A"/>
    <w:rsid w:val="008C674C"/>
    <w:rsid w:val="00B3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7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1068</Words>
  <Characters>6088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2017-05-17T12:30:00Z</dcterms:created>
  <dcterms:modified xsi:type="dcterms:W3CDTF">2017-05-17T12:36:00Z</dcterms:modified>
</cp:coreProperties>
</file>