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2095" w:rsidRDefault="002A2095">
      <w:r>
        <w:t>Office to residential article 4 link</w:t>
      </w:r>
    </w:p>
    <w:p w:rsidR="002A2095" w:rsidRDefault="002A2095"/>
    <w:p w:rsidR="003E63BF" w:rsidRDefault="00641B3F">
      <w:hyperlink r:id="rId4" w:history="1">
        <w:r w:rsidR="002A2095" w:rsidRPr="005F6E82">
          <w:rPr>
            <w:rStyle w:val="Hyperlink"/>
          </w:rPr>
          <w:t>https://www.camden.gov.uk/ccm/content/environment/planning-and-built-environment/two/planning-policy/office-to-residential-article-4-directions.en;jsessionid=BB86D50A45963D1D8B37E1068ACDAAE1</w:t>
        </w:r>
      </w:hyperlink>
    </w:p>
    <w:p w:rsidR="002A2095" w:rsidRDefault="002A2095"/>
    <w:p w:rsidR="002A2095" w:rsidRDefault="002A2095"/>
    <w:p w:rsidR="002A2095" w:rsidRDefault="00641B3F">
      <w:r>
        <w:t>If confirmed, will come into effect in October 2015</w:t>
      </w:r>
      <w:bookmarkStart w:id="0" w:name="_GoBack"/>
      <w:bookmarkEnd w:id="0"/>
    </w:p>
    <w:sectPr w:rsidR="002A20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095"/>
    <w:rsid w:val="002A2095"/>
    <w:rsid w:val="003E63BF"/>
    <w:rsid w:val="00641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CFDE2A-8FCB-4F17-9E87-E2ED82B39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209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amden.gov.uk/ccm/content/environment/planning-and-built-environment/two/planning-policy/office-to-residential-article-4-directions.en;jsessionid=BB86D50A45963D1D8B37E1068ACDAAE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417</Characters>
  <Application>Microsoft Office Word</Application>
  <DocSecurity>0</DocSecurity>
  <Lines>3</Lines>
  <Paragraphs>1</Paragraphs>
  <ScaleCrop>false</ScaleCrop>
  <Company/>
  <LinksUpToDate>false</LinksUpToDate>
  <CharactersWithSpaces>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Janine Griffis</dc:creator>
  <cp:keywords/>
  <dc:description/>
  <cp:lastModifiedBy>Janine Griffis</cp:lastModifiedBy>
  <cp:revision>2</cp:revision>
  <dcterms:created xsi:type="dcterms:W3CDTF">2015-02-20T18:18:00Z</dcterms:created>
  <dcterms:modified xsi:type="dcterms:W3CDTF">2015-02-20T18:20:00Z</dcterms:modified>
</cp:coreProperties>
</file>